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6D3414"/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E783C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5E783C">
              <w:rPr>
                <w:b/>
                <w:u w:val="single"/>
              </w:rPr>
              <w:t>030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E783C" w:rsidRDefault="00CE0877" w:rsidP="005E783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5E783C" w:rsidRPr="005E783C">
              <w:rPr>
                <w:rFonts w:cs="Arial"/>
                <w:szCs w:val="20"/>
              </w:rPr>
              <w:t>Registro de Preço para futura e/ou eventual contratação de empresa para o fornecimento de refeições tipo Self Service</w:t>
            </w:r>
            <w:proofErr w:type="gramStart"/>
            <w:r w:rsidR="005E783C" w:rsidRPr="005E783C">
              <w:rPr>
                <w:rFonts w:cs="Arial"/>
                <w:szCs w:val="20"/>
              </w:rPr>
              <w:t xml:space="preserve"> </w:t>
            </w:r>
            <w:r w:rsidR="000C2FA9">
              <w:rPr>
                <w:rFonts w:cs="Arial"/>
                <w:szCs w:val="20"/>
              </w:rPr>
              <w:t xml:space="preserve"> </w:t>
            </w:r>
            <w:proofErr w:type="gramEnd"/>
            <w:r w:rsidR="000C2FA9">
              <w:rPr>
                <w:rFonts w:cs="Arial"/>
                <w:szCs w:val="20"/>
              </w:rPr>
              <w:t>no município de Cornélio Procópio/PR</w:t>
            </w:r>
            <w:r w:rsidR="000C2FA9" w:rsidRPr="001C18E0">
              <w:rPr>
                <w:rFonts w:cs="Arial"/>
                <w:szCs w:val="20"/>
              </w:rPr>
              <w:t xml:space="preserve"> </w:t>
            </w:r>
            <w:r w:rsidR="005E783C" w:rsidRPr="005E783C">
              <w:rPr>
                <w:rFonts w:cs="Arial"/>
                <w:szCs w:val="20"/>
              </w:rPr>
              <w:t>para atender as necessidades da Secretaria de</w:t>
            </w:r>
            <w:bookmarkStart w:id="0" w:name="_GoBack"/>
            <w:bookmarkEnd w:id="0"/>
            <w:r w:rsidR="005E783C" w:rsidRPr="005E783C">
              <w:rPr>
                <w:rFonts w:cs="Arial"/>
                <w:szCs w:val="20"/>
              </w:rPr>
              <w:t xml:space="preserve"> Saúde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5E783C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5E783C">
              <w:t>01</w:t>
            </w:r>
            <w:r w:rsidRPr="0058089E">
              <w:t xml:space="preserve"> de </w:t>
            </w:r>
            <w:r w:rsidR="005E783C">
              <w:t>jul</w:t>
            </w:r>
            <w:r w:rsidR="00994C24">
              <w:t>ho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E783C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5E783C">
              <w:t>01</w:t>
            </w:r>
            <w:r w:rsidR="0060683E" w:rsidRPr="0058089E">
              <w:t xml:space="preserve"> de </w:t>
            </w:r>
            <w:r w:rsidR="00994C24">
              <w:t>ju</w:t>
            </w:r>
            <w:r w:rsidR="005E783C">
              <w:t>l</w:t>
            </w:r>
            <w:r w:rsidR="00994C24">
              <w:t>ho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1D22FB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7631F1">
              <w:t xml:space="preserve"> </w:t>
            </w:r>
            <w:r w:rsidR="007871DC" w:rsidRPr="007871DC">
              <w:rPr>
                <w:b/>
              </w:rPr>
              <w:t xml:space="preserve">R$ </w:t>
            </w:r>
            <w:r w:rsidR="005E783C" w:rsidRPr="005E783C">
              <w:rPr>
                <w:rFonts w:cs="Arial"/>
                <w:b/>
                <w:szCs w:val="20"/>
              </w:rPr>
              <w:t>30.240,00</w:t>
            </w:r>
            <w:r w:rsidR="005E783C" w:rsidRPr="005E783C">
              <w:rPr>
                <w:rStyle w:val="Forte"/>
                <w:rFonts w:cs="Arial"/>
                <w:szCs w:val="20"/>
              </w:rPr>
              <w:t xml:space="preserve"> (trinta mil duzentos e quarenta reais)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E783C">
            <w:pPr>
              <w:jc w:val="center"/>
            </w:pPr>
            <w:r w:rsidRPr="0058089E">
              <w:t xml:space="preserve">Nova Fátima, </w:t>
            </w:r>
            <w:r w:rsidR="005E783C">
              <w:t>12</w:t>
            </w:r>
            <w:r w:rsidR="001406B1">
              <w:t xml:space="preserve"> </w:t>
            </w:r>
            <w:r w:rsidR="00D26BF6">
              <w:t xml:space="preserve">de </w:t>
            </w:r>
            <w:r w:rsidR="00994C24">
              <w:t>junho</w:t>
            </w:r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2FA9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2FB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83C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3414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4C24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2779B-3B97-42F6-9C6F-82EE15CC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1307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35</cp:revision>
  <cp:lastPrinted>2025-06-12T11:07:00Z</cp:lastPrinted>
  <dcterms:created xsi:type="dcterms:W3CDTF">2022-01-11T14:30:00Z</dcterms:created>
  <dcterms:modified xsi:type="dcterms:W3CDTF">2025-06-12T11:07:00Z</dcterms:modified>
</cp:coreProperties>
</file>